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Vaše meno"/>
        <w:tag w:val=""/>
        <w:id w:val="-574512284"/>
        <w:placeholder>
          <w:docPart w:val="223B9FFA8C5E47209DCA99CABA8248D5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p w:rsidR="002179B6" w:rsidRPr="00BB0B41" w:rsidRDefault="002514C7" w:rsidP="002179B6">
          <w:pPr>
            <w:pStyle w:val="Meno"/>
            <w:rPr>
              <w:b/>
            </w:rPr>
          </w:pPr>
          <w:r>
            <w:rPr>
              <w:b/>
            </w:rPr>
            <w:t xml:space="preserve">AUTEX </w:t>
          </w:r>
          <w:r w:rsidR="00D7319F">
            <w:rPr>
              <w:b/>
            </w:rPr>
            <w:t>K</w:t>
          </w:r>
          <w:r w:rsidR="00085170">
            <w:rPr>
              <w:b/>
            </w:rPr>
            <w:t>V 32</w:t>
          </w:r>
        </w:p>
      </w:sdtContent>
    </w:sdt>
    <w:tbl>
      <w:tblPr>
        <w:tblStyle w:val="Tabukaivotopisu"/>
        <w:tblW w:w="5000" w:type="pct"/>
        <w:tblInd w:w="-142" w:type="dxa"/>
        <w:tblLook w:val="04A0" w:firstRow="1" w:lastRow="0" w:firstColumn="1" w:lastColumn="0" w:noHBand="0" w:noVBand="1"/>
      </w:tblPr>
      <w:tblGrid>
        <w:gridCol w:w="1582"/>
        <w:gridCol w:w="27"/>
        <w:gridCol w:w="7463"/>
      </w:tblGrid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</w:rPr>
              <w:t>pOPIS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2179B6" w:rsidRPr="00B52C16" w:rsidRDefault="00A35B17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AUTEX</w:t>
            </w:r>
            <w:r w:rsidR="002514C7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D7319F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K</w:t>
            </w:r>
            <w:r w:rsidR="004C58DA"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32</w:t>
            </w: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je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olej pre klzné vedenia a hydraulický olej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iacúčelový prémiový olej vyvinutý pre mazanie mechanických pohonov, klzných vedení a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hydraulických častí obrábacích strojov s vysokou presnosťou. Ide o hlboko rafinovaný minerálny olej obsahujúci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prísady, ktoré zabraňujú oxidácii, znižujú opotrebenie, odolávajú vysokým tlakom, zabraňujú korózií a peneniu,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navyše modifikujú trenie a zvyšujú pevnosť mazacieho filmu. Vytvára priľnavý mazací film, ktorý odoláva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vymývaciemu</w:t>
            </w:r>
            <w:proofErr w:type="spellEnd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účinku kovoobrábacích kvapalín a zabraňuje </w:t>
            </w:r>
            <w:proofErr w:type="spellStart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stick-slip</w:t>
            </w:r>
            <w:proofErr w:type="spellEnd"/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efektu (trenie, ktoré môže spôsobiť vibrácie),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čo umožňuje plynulý pohyb a vysokú presnosť obrábania aj pri vysokom zaťažení a nízkej rýchlosti. Má vynikajúcu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odolnosť proti opotrebovaniu a odolnosť proti tlaku, chráni proti odieraniu a nadmernému opotrebeniu aj pri</w:t>
            </w:r>
            <w:r w:rsid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r w:rsidR="00B52C16"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vysokom zaťažení. Účinne chráni časti obrábacieho stroja proti korózii.</w:t>
            </w:r>
          </w:p>
        </w:tc>
      </w:tr>
      <w:tr w:rsidR="002179B6" w:rsidTr="00693AD7">
        <w:tc>
          <w:tcPr>
            <w:tcW w:w="1921" w:type="dxa"/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 w:rsidRPr="00BC7CE9">
              <w:rPr>
                <w:b/>
                <w:lang w:bidi="sk-SK"/>
              </w:rPr>
              <w:t>pOUžITIE</w:t>
            </w:r>
          </w:p>
        </w:tc>
        <w:tc>
          <w:tcPr>
            <w:tcW w:w="64" w:type="dxa"/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</w:tcPr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Horizontálne klzné vedenia obrábacích strojov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Klzné ložiská s liatinovým a polymérnym povrchom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Klzné vedenia </w:t>
            </w:r>
            <w:proofErr w:type="spellStart"/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pomalobežných</w:t>
            </w:r>
            <w:proofErr w:type="spellEnd"/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 xml:space="preserve"> stredne zaťažených obrábacích strojov poskytujúcich veľmi presné nastavenie bez trhavého pohybu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Spoločný systém mazania obrábacieho stroja hydrauliky a klzného vedenia</w:t>
            </w:r>
          </w:p>
          <w:p w:rsidR="00B52C1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Mechanické pohony a vretená obrábacích strojov</w:t>
            </w:r>
          </w:p>
          <w:p w:rsidR="002179B6" w:rsidRPr="00B52C16" w:rsidRDefault="00B52C16" w:rsidP="00B52C1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sk-SK"/>
              </w:rPr>
              <w:t>Na priemyselné použitie.</w:t>
            </w:r>
          </w:p>
        </w:tc>
      </w:tr>
      <w:tr w:rsidR="002179B6" w:rsidRPr="00BB0B41" w:rsidTr="00A35AE2">
        <w:tc>
          <w:tcPr>
            <w:tcW w:w="1921" w:type="dxa"/>
            <w:tcBorders>
              <w:bottom w:val="single" w:sz="4" w:space="0" w:color="4F81BD" w:themeColor="accent1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t>vlastnosti</w:t>
            </w:r>
          </w:p>
        </w:tc>
        <w:tc>
          <w:tcPr>
            <w:tcW w:w="64" w:type="dxa"/>
            <w:tcBorders>
              <w:bottom w:val="single" w:sz="4" w:space="0" w:color="4F81BD" w:themeColor="accent1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bottom w:val="single" w:sz="4" w:space="0" w:color="4F81BD" w:themeColor="accent1"/>
            </w:tcBorders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8"/>
              <w:gridCol w:w="5385"/>
            </w:tblGrid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mazacia schopnosť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Efektívne zníženie trenia a opotrebenia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1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Zvýšená životnosť zariadení, znížené náklady na náhradné diely a prevádzkové náklady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Dobrá tepelná a oxidačná stálosť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Dlhodobo odoláva procesu starnutia, aj pri vysokých prevádzkových teplotách a tlakoch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Netvoria sa usadeniny alebo kaly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2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Dlhší výmenný interval oleja a životnosť zariadenia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odolnosť voči trhavému pohybu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Presné polohovanie pre vysokú presnosť výroby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3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Zabezpečuje rovnomerný pohyb bez vibrácií aj pri vysokom zaťažení a nízkych otáčkach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Vynikajúca priľnavosť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4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Olejový film je odolný voči vymývaniu kovoobrábacou kvapalinou, takže je možné znížiť spotrebu oleja pre klzné vedenie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lastRenderedPageBreak/>
                    <w:t>Vynikajúca ochrana proti korózii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Účinná ochrana ocele a neželezných kovových častí aj v prítomnosti vody</w:t>
                  </w:r>
                </w:p>
                <w:p w:rsidR="00B52C16" w:rsidRPr="00B52C16" w:rsidRDefault="00B52C16" w:rsidP="00B52C1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Dlhá životnosť strojov, nízke náklady na údržbu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emulziami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6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Účinne sa odlučuje od kovoobrábacích kvapalín, čím prispieva k predĺženiu životnosti technologických pomôcok</w:t>
                  </w:r>
                </w:p>
              </w:tc>
            </w:tr>
            <w:tr w:rsidR="00B52C16" w:rsidRPr="00B52C16" w:rsidTr="00B52C1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spacing w:before="0" w:after="0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Kompatibilný s konštrukčnými materiálmi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52C16" w:rsidRPr="00B52C16" w:rsidRDefault="00B52C16" w:rsidP="00B52C16">
                  <w:pPr>
                    <w:numPr>
                      <w:ilvl w:val="0"/>
                      <w:numId w:val="17"/>
                    </w:numPr>
                    <w:spacing w:before="100" w:beforeAutospacing="1" w:after="100" w:afterAutospacing="1" w:line="240" w:lineRule="auto"/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kern w:val="0"/>
                      <w:sz w:val="18"/>
                      <w:szCs w:val="18"/>
                      <w:lang w:eastAsia="sk-SK"/>
                    </w:rPr>
                    <w:t>Nepoškodí sa štruktúra kovov a plastov používaných v klzných vedeniach</w:t>
                  </w:r>
                </w:p>
              </w:tc>
            </w:tr>
          </w:tbl>
          <w:p w:rsidR="00B52C16" w:rsidRPr="00B52C16" w:rsidRDefault="00B52C16" w:rsidP="00693AD7">
            <w:pPr>
              <w:pStyle w:val="Default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  <w:tbl>
            <w:tblPr>
              <w:tblW w:w="717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73"/>
              <w:gridCol w:w="3406"/>
            </w:tblGrid>
            <w:tr w:rsidR="00FC1CBD" w:rsidRPr="00B52C16" w:rsidTr="00FC1CBD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Vlastnosti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FC1CBD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365F91" w:themeColor="accent1" w:themeShade="BF"/>
                      <w:sz w:val="18"/>
                      <w:szCs w:val="18"/>
                    </w:rPr>
                    <w:t>Typické hodnoty</w:t>
                  </w:r>
                </w:p>
              </w:tc>
            </w:tr>
            <w:tr w:rsidR="00FC1CBD" w:rsidRPr="00B52C1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Merná hmotnosť pri 15 °C [g/cm3]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B52C1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0,874</w:t>
                  </w:r>
                </w:p>
              </w:tc>
            </w:tr>
            <w:tr w:rsidR="00FC1CBD" w:rsidRPr="00B52C16" w:rsidTr="00F3792C">
              <w:trPr>
                <w:trHeight w:val="127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40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B52C1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32,8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Kinematická viskozita pri 100 °C [mm2/s]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B52C1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5,6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Viskozitný index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B52C1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110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tuhnutia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9A0FAA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-27</w:t>
                  </w:r>
                </w:p>
              </w:tc>
            </w:tr>
            <w:tr w:rsidR="00FC1CBD" w:rsidRPr="00B52C16" w:rsidTr="00F3792C">
              <w:trPr>
                <w:trHeight w:val="109"/>
              </w:trPr>
              <w:tc>
                <w:tcPr>
                  <w:tcW w:w="377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1661FE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 w:rsidRPr="00B52C16">
                    <w:rPr>
                      <w:rFonts w:ascii="Arial Unicode MS" w:eastAsia="Arial Unicode MS" w:hAnsi="Arial Unicode MS" w:cs="Arial Unicode MS"/>
                      <w:color w:val="auto"/>
                      <w:sz w:val="18"/>
                      <w:szCs w:val="18"/>
                      <w:lang w:eastAsia="en-US"/>
                    </w:rPr>
                    <w:t>Bod vzplanutia v otvorenom tégliku (Cleveland) [°C]</w:t>
                  </w:r>
                </w:p>
              </w:tc>
              <w:tc>
                <w:tcPr>
                  <w:tcW w:w="34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C1CBD" w:rsidRPr="00B52C16" w:rsidRDefault="00B52C16" w:rsidP="00693AD7">
                  <w:pPr>
                    <w:pStyle w:val="Default"/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</w:pPr>
                  <w:r>
                    <w:rPr>
                      <w:rFonts w:ascii="Arial Unicode MS" w:eastAsia="Arial Unicode MS" w:hAnsi="Arial Unicode MS" w:cs="Arial Unicode MS"/>
                      <w:sz w:val="18"/>
                      <w:szCs w:val="18"/>
                    </w:rPr>
                    <w:t>210</w:t>
                  </w:r>
                </w:p>
              </w:tc>
            </w:tr>
          </w:tbl>
          <w:p w:rsidR="002179B6" w:rsidRPr="00B52C16" w:rsidRDefault="001661FE" w:rsidP="00693AD7">
            <w:pPr>
              <w:autoSpaceDE w:val="0"/>
              <w:autoSpaceDN w:val="0"/>
              <w:adjustRightInd w:val="0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</w:rPr>
            </w:pPr>
            <w:r w:rsidRPr="00B52C16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Vlastnosti v tabuľke sú typické hodnoty produktu a nepredstavujú špecifikáciu.</w:t>
            </w:r>
          </w:p>
          <w:p w:rsidR="002179B6" w:rsidRPr="00B52C16" w:rsidRDefault="002179B6" w:rsidP="00693AD7">
            <w:pPr>
              <w:pStyle w:val="Textivotopisu"/>
              <w:spacing w:line="312" w:lineRule="auto"/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</w:p>
        </w:tc>
      </w:tr>
      <w:tr w:rsidR="002179B6" w:rsidTr="00A35AE2">
        <w:tc>
          <w:tcPr>
            <w:tcW w:w="1921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Pr="00BC7CE9" w:rsidRDefault="00327E21" w:rsidP="00693AD7">
            <w:pPr>
              <w:pStyle w:val="Nadpis1"/>
              <w:spacing w:line="312" w:lineRule="auto"/>
              <w:jc w:val="left"/>
              <w:outlineLvl w:val="0"/>
              <w:rPr>
                <w:b/>
              </w:rPr>
            </w:pPr>
            <w:r>
              <w:rPr>
                <w:b/>
              </w:rPr>
              <w:lastRenderedPageBreak/>
              <w:t>Špecifikácie   a  súhlasy</w:t>
            </w:r>
          </w:p>
        </w:tc>
        <w:tc>
          <w:tcPr>
            <w:tcW w:w="64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4F81BD" w:themeColor="accent1"/>
              <w:bottom w:val="single" w:sz="4" w:space="0" w:color="auto"/>
            </w:tcBorders>
          </w:tcPr>
          <w:p w:rsidR="00A35B17" w:rsidRPr="00B52C16" w:rsidRDefault="004C58DA" w:rsidP="00A35B17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</w:pPr>
            <w:r w:rsidRPr="00B52C16">
              <w:rPr>
                <w:rFonts w:ascii="Arial Unicode MS" w:eastAsia="Arial Unicode MS" w:hAnsi="Arial Unicode MS" w:cs="Arial Unicode MS"/>
                <w:color w:val="000000"/>
                <w:kern w:val="0"/>
                <w:sz w:val="18"/>
                <w:szCs w:val="18"/>
                <w:lang w:eastAsia="en-US"/>
              </w:rPr>
              <w:t>Viskozitná trieda: ISO VG 32</w:t>
            </w:r>
          </w:p>
          <w:p w:rsidR="000B486B" w:rsidRPr="00B52C16" w:rsidRDefault="00B52C16" w:rsidP="00B52C16">
            <w:pPr>
              <w:rPr>
                <w:rFonts w:ascii="Arial Unicode MS" w:eastAsia="Arial Unicode MS" w:hAnsi="Arial Unicode MS" w:cs="Arial Unicode MS"/>
                <w:sz w:val="18"/>
                <w:szCs w:val="18"/>
              </w:rPr>
            </w:pPr>
            <w:r>
              <w:rPr>
                <w:rFonts w:ascii="Arial Unicode MS" w:eastAsia="Arial Unicode MS" w:hAnsi="Arial Unicode MS" w:cs="Arial Unicode MS"/>
                <w:sz w:val="18"/>
                <w:szCs w:val="18"/>
              </w:rPr>
              <w:t>ISO11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158 HM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 11158 HG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ISO-L-G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ISO-L-HG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ISO-L-HM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51502 CGLP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  <w:t>DIN 51524-2 (HLP)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Eaton</w:t>
            </w:r>
            <w:proofErr w:type="spellEnd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(</w:t>
            </w:r>
            <w:proofErr w:type="spellStart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Vickers</w:t>
            </w:r>
            <w:proofErr w:type="spellEnd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) M-2950-S</w:t>
            </w:r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br/>
            </w:r>
            <w:proofErr w:type="spellStart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General</w:t>
            </w:r>
            <w:proofErr w:type="spellEnd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</w:t>
            </w:r>
            <w:proofErr w:type="spellStart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>Motors</w:t>
            </w:r>
            <w:proofErr w:type="spellEnd"/>
            <w:r w:rsidRPr="00B52C16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LS2 LW-03-1-00</w:t>
            </w:r>
            <w:bookmarkStart w:id="0" w:name="_GoBack"/>
            <w:bookmarkEnd w:id="0"/>
          </w:p>
        </w:tc>
      </w:tr>
      <w:tr w:rsidR="002179B6" w:rsidTr="00A35B17">
        <w:trPr>
          <w:trHeight w:val="2645"/>
        </w:trPr>
        <w:tc>
          <w:tcPr>
            <w:tcW w:w="1921" w:type="dxa"/>
            <w:tcBorders>
              <w:top w:val="single" w:sz="4" w:space="0" w:color="auto"/>
              <w:bottom w:val="nil"/>
            </w:tcBorders>
          </w:tcPr>
          <w:p w:rsidR="002179B6" w:rsidRPr="00BC7CE9" w:rsidRDefault="002179B6" w:rsidP="00693AD7">
            <w:pPr>
              <w:pStyle w:val="Nadpis1"/>
              <w:spacing w:line="312" w:lineRule="auto"/>
              <w:jc w:val="left"/>
              <w:outlineLvl w:val="0"/>
              <w:rPr>
                <w:b/>
                <w:lang w:bidi="sk-SK"/>
              </w:rPr>
            </w:pPr>
            <w:r w:rsidRPr="00BC7CE9">
              <w:rPr>
                <w:b/>
                <w:lang w:bidi="sk-SK"/>
              </w:rPr>
              <w:lastRenderedPageBreak/>
              <w:t xml:space="preserve">Pokyny pre manipuláciu </w:t>
            </w:r>
            <w:r w:rsidR="00327E21">
              <w:rPr>
                <w:b/>
                <w:lang w:bidi="sk-SK"/>
              </w:rPr>
              <w:t xml:space="preserve"> </w:t>
            </w:r>
            <w:r w:rsidRPr="00BC7CE9">
              <w:rPr>
                <w:b/>
                <w:lang w:bidi="sk-SK"/>
              </w:rPr>
              <w:t>a skladovanie</w:t>
            </w:r>
          </w:p>
        </w:tc>
        <w:tc>
          <w:tcPr>
            <w:tcW w:w="64" w:type="dxa"/>
            <w:tcBorders>
              <w:top w:val="single" w:sz="4" w:space="0" w:color="auto"/>
              <w:bottom w:val="nil"/>
            </w:tcBorders>
          </w:tcPr>
          <w:p w:rsidR="002179B6" w:rsidRDefault="002179B6" w:rsidP="00693AD7">
            <w:pPr>
              <w:spacing w:line="312" w:lineRule="auto"/>
            </w:pPr>
          </w:p>
        </w:tc>
        <w:tc>
          <w:tcPr>
            <w:tcW w:w="7938" w:type="dxa"/>
            <w:tcBorders>
              <w:top w:val="single" w:sz="4" w:space="0" w:color="auto"/>
              <w:bottom w:val="nil"/>
            </w:tcBorders>
          </w:tcPr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Skladujte v uzavretých originálnych obaloch na suchých miestach 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Neskladovať v blízkosti výhrevných telies.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Počas prepravy, skladovania a používania výrobku dodržiavajte zásady bezpečnosti práce a ekologické pravidlá vzťahujúce sa k ropným výrobkom.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Pre bližšie informácie si vyžiadajte Kartu bezpečnostných údajov produktu.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Motorové oleje sú plne formulované výrobky, dodatočná </w:t>
            </w:r>
            <w:proofErr w:type="spellStart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aditivácia</w:t>
            </w:r>
            <w:proofErr w:type="spellEnd"/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 xml:space="preserve"> je nežiaduca a môže spôsobiť nepredvídané škody. V takomto prípade výrobca ani predajca nenesú zodpovednosť.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V pôvodnom balení pri dodržaní skladovacích podmienok: 60 mesiacov</w:t>
            </w:r>
          </w:p>
          <w:p w:rsidR="0012103F" w:rsidRPr="004C58DA" w:rsidRDefault="0012103F" w:rsidP="0012103F">
            <w:pPr>
              <w:autoSpaceDE w:val="0"/>
              <w:autoSpaceDN w:val="0"/>
              <w:adjustRightInd w:val="0"/>
              <w:spacing w:before="0" w:after="0" w:line="240" w:lineRule="auto"/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Horľavá kvapalina: IV. triedy nebezpečnosti.</w:t>
            </w:r>
          </w:p>
          <w:p w:rsidR="002179B6" w:rsidRPr="00F310F3" w:rsidRDefault="0012103F" w:rsidP="0012103F">
            <w:pPr>
              <w:rPr>
                <w:rFonts w:ascii="Arial" w:hAnsi="Arial" w:cs="Arial"/>
              </w:rPr>
            </w:pPr>
            <w:r w:rsidRPr="004C58DA">
              <w:rPr>
                <w:rFonts w:ascii="Arial Unicode MS" w:eastAsia="Arial Unicode MS" w:hAnsi="Arial Unicode MS" w:cs="Arial Unicode MS"/>
                <w:color w:val="auto"/>
                <w:kern w:val="0"/>
                <w:sz w:val="18"/>
                <w:szCs w:val="18"/>
                <w:lang w:eastAsia="en-US"/>
              </w:rPr>
              <w:t>Odporúčaná teplota skladovania: max. 40°C</w:t>
            </w:r>
          </w:p>
        </w:tc>
      </w:tr>
    </w:tbl>
    <w:p w:rsidR="006D7EAB" w:rsidRDefault="006D7EAB" w:rsidP="00A35B17"/>
    <w:sectPr w:rsidR="006D7EAB" w:rsidSect="006D7EA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F4" w:rsidRDefault="001A2DF4" w:rsidP="002179B6">
      <w:pPr>
        <w:spacing w:before="0" w:after="0" w:line="240" w:lineRule="auto"/>
      </w:pPr>
      <w:r>
        <w:separator/>
      </w:r>
    </w:p>
  </w:endnote>
  <w:endnote w:type="continuationSeparator" w:id="0">
    <w:p w:rsidR="001A2DF4" w:rsidRDefault="001A2DF4" w:rsidP="002179B6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58DA" w:rsidRDefault="004C58DA">
    <w:pPr>
      <w:pStyle w:val="Pta"/>
    </w:pPr>
    <w:r>
      <w:t xml:space="preserve">AUTEX s.r.o., Kragujevská 3679/22C, 010 01 Žilina, IČO: 36389714, Mobil: 0903 735 214, E-mail: </w:t>
    </w:r>
    <w:hyperlink r:id="rId1" w:history="1">
      <w:r w:rsidRPr="00E13C00">
        <w:rPr>
          <w:rStyle w:val="Hypertextovprepojenie"/>
        </w:rPr>
        <w:t>autexhaj@autexsro.sk</w:t>
      </w:r>
    </w:hyperlink>
    <w:r>
      <w:t xml:space="preserve">, Prevádzka: Háj 207, 039 01 Turčianske Teplice, </w:t>
    </w:r>
    <w:hyperlink r:id="rId2" w:history="1">
      <w:r w:rsidRPr="00B5412F">
        <w:rPr>
          <w:rStyle w:val="Hypertextovprepojenie"/>
        </w:rPr>
        <w:t>www.oleje-autex.sk</w:t>
      </w:r>
    </w:hyperlink>
  </w:p>
  <w:p w:rsidR="004C58DA" w:rsidRDefault="004C58DA">
    <w:pPr>
      <w:pStyle w:val="Pta"/>
    </w:pPr>
    <w:r>
      <w:tab/>
    </w:r>
    <w:sdt>
      <w:sdtPr>
        <w:id w:val="515129162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B52C16">
          <w:rPr>
            <w:noProof/>
          </w:rPr>
          <w:t>2</w:t>
        </w:r>
        <w:r>
          <w:fldChar w:fldCharType="end"/>
        </w:r>
        <w:r>
          <w:t>/3</w:t>
        </w:r>
      </w:sdtContent>
    </w:sdt>
  </w:p>
  <w:p w:rsidR="002179B6" w:rsidRDefault="002179B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F4" w:rsidRDefault="001A2DF4" w:rsidP="002179B6">
      <w:pPr>
        <w:spacing w:before="0" w:after="0" w:line="240" w:lineRule="auto"/>
      </w:pPr>
      <w:r>
        <w:separator/>
      </w:r>
    </w:p>
  </w:footnote>
  <w:footnote w:type="continuationSeparator" w:id="0">
    <w:p w:rsidR="001A2DF4" w:rsidRDefault="001A2DF4" w:rsidP="002179B6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9B6" w:rsidRDefault="002179B6" w:rsidP="002179B6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rPr>
        <w:rFonts w:ascii="Arial" w:hAnsi="Arial" w:cs="Arial"/>
        <w:b/>
        <w:bCs/>
        <w:color w:val="365F91" w:themeColor="accent1" w:themeShade="BF"/>
        <w:sz w:val="28"/>
        <w:szCs w:val="28"/>
      </w:rPr>
    </w:pPr>
    <w:r>
      <w:rPr>
        <w:b/>
        <w:noProof/>
        <w:sz w:val="28"/>
        <w:szCs w:val="28"/>
        <w:lang w:eastAsia="sk-SK"/>
      </w:rPr>
      <w:drawing>
        <wp:inline distT="0" distB="0" distL="0" distR="0">
          <wp:extent cx="1276350" cy="361950"/>
          <wp:effectExtent l="0" t="0" r="0" b="0"/>
          <wp:docPr id="1" name="Obrázok 1" descr="LOGO Aute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ute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b/>
        <w:bCs/>
        <w:color w:val="000000"/>
        <w:sz w:val="28"/>
        <w:szCs w:val="28"/>
      </w:rPr>
      <w:t xml:space="preserve">           </w:t>
    </w:r>
    <w:r>
      <w:rPr>
        <w:rFonts w:ascii="Arial" w:hAnsi="Arial" w:cs="Arial"/>
        <w:b/>
        <w:bCs/>
        <w:color w:val="365F91" w:themeColor="accent1" w:themeShade="BF"/>
        <w:sz w:val="28"/>
        <w:szCs w:val="28"/>
      </w:rPr>
      <w:t>TECHNICKO INFORMAČNÝ LIST</w:t>
    </w:r>
  </w:p>
  <w:p w:rsidR="002179B6" w:rsidRDefault="002179B6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29F2"/>
    <w:multiLevelType w:val="multilevel"/>
    <w:tmpl w:val="A9280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16524E"/>
    <w:multiLevelType w:val="multilevel"/>
    <w:tmpl w:val="7DA6A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1A6E30"/>
    <w:multiLevelType w:val="multilevel"/>
    <w:tmpl w:val="E07C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BA3339"/>
    <w:multiLevelType w:val="multilevel"/>
    <w:tmpl w:val="C0644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7441BD"/>
    <w:multiLevelType w:val="multilevel"/>
    <w:tmpl w:val="789A4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8D45657"/>
    <w:multiLevelType w:val="multilevel"/>
    <w:tmpl w:val="06404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F67C94"/>
    <w:multiLevelType w:val="multilevel"/>
    <w:tmpl w:val="2F761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D30CDE"/>
    <w:multiLevelType w:val="multilevel"/>
    <w:tmpl w:val="954AD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7070A"/>
    <w:multiLevelType w:val="multilevel"/>
    <w:tmpl w:val="5D76E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F070C80"/>
    <w:multiLevelType w:val="multilevel"/>
    <w:tmpl w:val="69B24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D41B9B"/>
    <w:multiLevelType w:val="multilevel"/>
    <w:tmpl w:val="923C8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50751"/>
    <w:multiLevelType w:val="multilevel"/>
    <w:tmpl w:val="97669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AF12282"/>
    <w:multiLevelType w:val="multilevel"/>
    <w:tmpl w:val="193E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745278"/>
    <w:multiLevelType w:val="multilevel"/>
    <w:tmpl w:val="0748C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DE125DE"/>
    <w:multiLevelType w:val="multilevel"/>
    <w:tmpl w:val="F76A3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DB6A46"/>
    <w:multiLevelType w:val="multilevel"/>
    <w:tmpl w:val="871CC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09629A"/>
    <w:multiLevelType w:val="multilevel"/>
    <w:tmpl w:val="D2DCC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14"/>
  </w:num>
  <w:num w:numId="7">
    <w:abstractNumId w:val="0"/>
  </w:num>
  <w:num w:numId="8">
    <w:abstractNumId w:val="10"/>
  </w:num>
  <w:num w:numId="9">
    <w:abstractNumId w:val="1"/>
  </w:num>
  <w:num w:numId="10">
    <w:abstractNumId w:val="2"/>
  </w:num>
  <w:num w:numId="11">
    <w:abstractNumId w:val="16"/>
  </w:num>
  <w:num w:numId="12">
    <w:abstractNumId w:val="15"/>
  </w:num>
  <w:num w:numId="13">
    <w:abstractNumId w:val="4"/>
  </w:num>
  <w:num w:numId="14">
    <w:abstractNumId w:val="7"/>
  </w:num>
  <w:num w:numId="15">
    <w:abstractNumId w:val="9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9B6"/>
    <w:rsid w:val="00040609"/>
    <w:rsid w:val="00085170"/>
    <w:rsid w:val="000B486B"/>
    <w:rsid w:val="000D738D"/>
    <w:rsid w:val="000E404C"/>
    <w:rsid w:val="0012103F"/>
    <w:rsid w:val="001661FE"/>
    <w:rsid w:val="001A2DF4"/>
    <w:rsid w:val="002179B6"/>
    <w:rsid w:val="002514C7"/>
    <w:rsid w:val="002E7F35"/>
    <w:rsid w:val="00306C22"/>
    <w:rsid w:val="00327E21"/>
    <w:rsid w:val="004C58DA"/>
    <w:rsid w:val="00581E39"/>
    <w:rsid w:val="005C7B6C"/>
    <w:rsid w:val="006559EA"/>
    <w:rsid w:val="006D5423"/>
    <w:rsid w:val="006D7EAB"/>
    <w:rsid w:val="0071696E"/>
    <w:rsid w:val="007375B5"/>
    <w:rsid w:val="00784C94"/>
    <w:rsid w:val="008A5658"/>
    <w:rsid w:val="00964E51"/>
    <w:rsid w:val="00986B26"/>
    <w:rsid w:val="009A0FAA"/>
    <w:rsid w:val="00A35AE2"/>
    <w:rsid w:val="00A35B17"/>
    <w:rsid w:val="00B24BA1"/>
    <w:rsid w:val="00B52C16"/>
    <w:rsid w:val="00BA0B2B"/>
    <w:rsid w:val="00BD2AC0"/>
    <w:rsid w:val="00D031CB"/>
    <w:rsid w:val="00D20D11"/>
    <w:rsid w:val="00D7319F"/>
    <w:rsid w:val="00DE51A9"/>
    <w:rsid w:val="00F3792C"/>
    <w:rsid w:val="00F7456F"/>
    <w:rsid w:val="00F751F3"/>
    <w:rsid w:val="00F836BF"/>
    <w:rsid w:val="00FB6A34"/>
    <w:rsid w:val="00FC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2179B6"/>
    <w:pPr>
      <w:spacing w:before="40" w:after="160" w:line="288" w:lineRule="auto"/>
    </w:pPr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Nadpis1">
    <w:name w:val="heading 1"/>
    <w:basedOn w:val="Normlny"/>
    <w:next w:val="Normlny"/>
    <w:link w:val="Nadpis1Char"/>
    <w:unhideWhenUsed/>
    <w:qFormat/>
    <w:rsid w:val="002179B6"/>
    <w:pPr>
      <w:jc w:val="right"/>
      <w:outlineLvl w:val="0"/>
    </w:pPr>
    <w:rPr>
      <w:rFonts w:asciiTheme="majorHAnsi" w:eastAsiaTheme="majorEastAsia" w:hAnsiTheme="majorHAnsi" w:cstheme="majorBidi"/>
      <w:caps/>
      <w:color w:val="4F81BD" w:themeColor="accent1"/>
      <w:sz w:val="21"/>
      <w:szCs w:val="21"/>
    </w:rPr>
  </w:style>
  <w:style w:type="paragraph" w:styleId="Nadpis2">
    <w:name w:val="heading 2"/>
    <w:basedOn w:val="Normlny"/>
    <w:next w:val="Normlny"/>
    <w:link w:val="Nadpis2Char"/>
    <w:unhideWhenUsed/>
    <w:qFormat/>
    <w:rsid w:val="002179B6"/>
    <w:pPr>
      <w:keepNext/>
      <w:keepLines/>
      <w:spacing w:after="40"/>
      <w:outlineLvl w:val="1"/>
    </w:pPr>
    <w:rPr>
      <w:rFonts w:asciiTheme="majorHAnsi" w:eastAsiaTheme="majorEastAsia" w:hAnsiTheme="majorHAnsi" w:cstheme="majorBidi"/>
      <w:b/>
      <w:bCs/>
      <w:cap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179B6"/>
    <w:rPr>
      <w:rFonts w:asciiTheme="majorHAnsi" w:eastAsiaTheme="majorEastAsia" w:hAnsiTheme="majorHAnsi" w:cstheme="majorBidi"/>
      <w:caps/>
      <w:color w:val="4F81BD" w:themeColor="accent1"/>
      <w:kern w:val="20"/>
      <w:sz w:val="21"/>
      <w:szCs w:val="21"/>
      <w:lang w:eastAsia="ja-JP"/>
    </w:rPr>
  </w:style>
  <w:style w:type="character" w:customStyle="1" w:styleId="Nadpis2Char">
    <w:name w:val="Nadpis 2 Char"/>
    <w:basedOn w:val="Predvolenpsmoodseku"/>
    <w:link w:val="Nadpis2"/>
    <w:rsid w:val="002179B6"/>
    <w:rPr>
      <w:rFonts w:asciiTheme="majorHAnsi" w:eastAsiaTheme="majorEastAsia" w:hAnsiTheme="majorHAnsi" w:cstheme="majorBidi"/>
      <w:b/>
      <w:bCs/>
      <w:caps/>
      <w:color w:val="404040" w:themeColor="text1" w:themeTint="BF"/>
      <w:kern w:val="20"/>
      <w:sz w:val="20"/>
      <w:szCs w:val="20"/>
      <w:lang w:eastAsia="ja-JP"/>
    </w:rPr>
  </w:style>
  <w:style w:type="paragraph" w:customStyle="1" w:styleId="Textivotopisu">
    <w:name w:val="Text životopisu"/>
    <w:basedOn w:val="Normlny"/>
    <w:qFormat/>
    <w:rsid w:val="002179B6"/>
    <w:pPr>
      <w:spacing w:after="40"/>
      <w:ind w:right="1440"/>
    </w:pPr>
  </w:style>
  <w:style w:type="table" w:customStyle="1" w:styleId="Tabukaivotopisu">
    <w:name w:val="Tabuľka životopisu"/>
    <w:basedOn w:val="Normlnatabuka"/>
    <w:uiPriority w:val="99"/>
    <w:rsid w:val="002179B6"/>
    <w:pPr>
      <w:spacing w:before="40" w:after="160" w:line="288" w:lineRule="auto"/>
    </w:pPr>
    <w:rPr>
      <w:rFonts w:eastAsiaTheme="minorEastAsia"/>
      <w:color w:val="595959" w:themeColor="text1" w:themeTint="A6"/>
      <w:sz w:val="20"/>
      <w:szCs w:val="20"/>
      <w:lang w:eastAsia="ja-JP"/>
    </w:rPr>
    <w:tblPr>
      <w:tblBorders>
        <w:insideH w:val="single" w:sz="4" w:space="0" w:color="4F81BD" w:themeColor="accent1"/>
      </w:tblBorders>
      <w:tblCellMar>
        <w:top w:w="144" w:type="dxa"/>
        <w:left w:w="0" w:type="dxa"/>
        <w:bottom w:w="144" w:type="dxa"/>
        <w:right w:w="0" w:type="dxa"/>
      </w:tblCellMar>
    </w:tblPr>
  </w:style>
  <w:style w:type="paragraph" w:customStyle="1" w:styleId="Meno">
    <w:name w:val="Meno"/>
    <w:basedOn w:val="Normlny"/>
    <w:next w:val="Normlny"/>
    <w:qFormat/>
    <w:rsid w:val="002179B6"/>
    <w:pPr>
      <w:pBdr>
        <w:top w:val="single" w:sz="4" w:space="4" w:color="4F81BD" w:themeColor="accent1"/>
        <w:left w:val="single" w:sz="4" w:space="6" w:color="4F81BD" w:themeColor="accent1"/>
        <w:bottom w:val="single" w:sz="4" w:space="4" w:color="4F81BD" w:themeColor="accent1"/>
        <w:right w:val="single" w:sz="4" w:space="6" w:color="4F81BD" w:themeColor="accent1"/>
      </w:pBdr>
      <w:shd w:val="clear" w:color="auto" w:fill="4F81BD" w:themeFill="accent1"/>
      <w:spacing w:before="240"/>
      <w:ind w:left="144" w:right="144"/>
    </w:pPr>
    <w:rPr>
      <w:rFonts w:asciiTheme="majorHAnsi" w:eastAsiaTheme="majorEastAsia" w:hAnsiTheme="majorHAnsi" w:cstheme="majorBidi"/>
      <w:caps/>
      <w:color w:val="FFFFFF" w:themeColor="background1"/>
      <w:sz w:val="32"/>
      <w:szCs w:val="32"/>
    </w:rPr>
  </w:style>
  <w:style w:type="paragraph" w:customStyle="1" w:styleId="Default">
    <w:name w:val="Default"/>
    <w:rsid w:val="002179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179B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179B6"/>
    <w:rPr>
      <w:rFonts w:ascii="Tahoma" w:eastAsiaTheme="minorEastAsia" w:hAnsi="Tahoma" w:cs="Tahoma"/>
      <w:color w:val="595959" w:themeColor="text1" w:themeTint="A6"/>
      <w:kern w:val="20"/>
      <w:sz w:val="16"/>
      <w:szCs w:val="16"/>
      <w:lang w:eastAsia="ja-JP"/>
    </w:rPr>
  </w:style>
  <w:style w:type="character" w:styleId="Textzstupnhosymbolu">
    <w:name w:val="Placeholder Text"/>
    <w:basedOn w:val="Predvolenpsmoodseku"/>
    <w:uiPriority w:val="99"/>
    <w:semiHidden/>
    <w:rsid w:val="002179B6"/>
    <w:rPr>
      <w:color w:val="808080"/>
    </w:rPr>
  </w:style>
  <w:style w:type="paragraph" w:styleId="Hlavika">
    <w:name w:val="header"/>
    <w:basedOn w:val="Normlny"/>
    <w:link w:val="HlavikaChar"/>
    <w:uiPriority w:val="99"/>
    <w:semiHidden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paragraph" w:styleId="Pta">
    <w:name w:val="footer"/>
    <w:basedOn w:val="Normlny"/>
    <w:link w:val="PtaChar"/>
    <w:uiPriority w:val="99"/>
    <w:unhideWhenUsed/>
    <w:rsid w:val="002179B6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179B6"/>
    <w:rPr>
      <w:rFonts w:eastAsiaTheme="minorEastAsia"/>
      <w:color w:val="595959" w:themeColor="text1" w:themeTint="A6"/>
      <w:kern w:val="20"/>
      <w:sz w:val="20"/>
      <w:szCs w:val="20"/>
      <w:lang w:eastAsia="ja-JP"/>
    </w:rPr>
  </w:style>
  <w:style w:type="character" w:styleId="Hypertextovprepojenie">
    <w:name w:val="Hyperlink"/>
    <w:basedOn w:val="Predvolenpsmoodseku"/>
    <w:uiPriority w:val="99"/>
    <w:unhideWhenUsed/>
    <w:rsid w:val="00BA0B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0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oleje-autex.sk" TargetMode="External"/><Relationship Id="rId1" Type="http://schemas.openxmlformats.org/officeDocument/2006/relationships/hyperlink" Target="mailto:autexhaj@autexsro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3B9FFA8C5E47209DCA99CABA8248D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96D3B92-6152-4480-A016-9F80667F2FF9}"/>
      </w:docPartPr>
      <w:docPartBody>
        <w:p w:rsidR="00CC37A6" w:rsidRDefault="00D96BD1" w:rsidP="00D96BD1">
          <w:pPr>
            <w:pStyle w:val="223B9FFA8C5E47209DCA99CABA8248D5"/>
          </w:pPr>
          <w:r>
            <w:rPr>
              <w:rStyle w:val="Textzstupnhosymbolu"/>
              <w:lang w:bidi="sk-SK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96BD1"/>
    <w:rsid w:val="000B6C5E"/>
    <w:rsid w:val="000D1AE6"/>
    <w:rsid w:val="001024FE"/>
    <w:rsid w:val="0035232D"/>
    <w:rsid w:val="003B0BAA"/>
    <w:rsid w:val="00687541"/>
    <w:rsid w:val="006F2C48"/>
    <w:rsid w:val="00A36940"/>
    <w:rsid w:val="00AE7377"/>
    <w:rsid w:val="00C4718D"/>
    <w:rsid w:val="00CC37A6"/>
    <w:rsid w:val="00D0731B"/>
    <w:rsid w:val="00D238A2"/>
    <w:rsid w:val="00D96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C37A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Textzstupnhosymbolu">
    <w:name w:val="Placeholder Text"/>
    <w:basedOn w:val="Predvolenpsmoodseku"/>
    <w:uiPriority w:val="99"/>
    <w:semiHidden/>
    <w:rsid w:val="00D96BD1"/>
    <w:rPr>
      <w:color w:val="808080"/>
    </w:rPr>
  </w:style>
  <w:style w:type="paragraph" w:customStyle="1" w:styleId="223B9FFA8C5E47209DCA99CABA8248D5">
    <w:name w:val="223B9FFA8C5E47209DCA99CABA8248D5"/>
    <w:rsid w:val="00D96BD1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536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AUTEX KV 32</dc:creator>
  <cp:lastModifiedBy>AUTEX-ZA</cp:lastModifiedBy>
  <cp:revision>3</cp:revision>
  <cp:lastPrinted>2019-03-12T13:42:00Z</cp:lastPrinted>
  <dcterms:created xsi:type="dcterms:W3CDTF">2022-03-25T06:13:00Z</dcterms:created>
  <dcterms:modified xsi:type="dcterms:W3CDTF">2022-03-25T06:23:00Z</dcterms:modified>
</cp:coreProperties>
</file>